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AI Agent Persona &amp; Tone Guide</w:t>
      </w:r>
    </w:p>
    <w:p>
      <w:pPr>
        <w:spacing w:after="120"/>
      </w:pPr>
      <w:r>
        <w:rPr>
          <w:i/>
          <w:sz w:val="22"/>
          <w:szCs w:val="22"/>
        </w:rPr>
        <w:t xml:space="preserve">A guide for defining an AI agent voice, boundaries, and response style.</w:t>
      </w:r>
    </w:p>
    <w:p>
      <w:pPr>
        <w:spacing w:before="220" w:after="60"/>
      </w:pPr>
      <w:r>
        <w:rPr>
          <w:b/>
          <w:sz w:val="28"/>
          <w:szCs w:val="28"/>
        </w:rPr>
        <w:t xml:space="preserve">Friendly ecommerce assistant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friendly ecommerce assistant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friendly ecommerce assistant,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Professional B2B support agent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professional b2b support agent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professional b2b support agent,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Luxury service concierge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luxury service concierge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luxury service concierge,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Healthcare-safe assistant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healthcare-safe assistant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healthcare-safe assistant,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Fast sales qualifier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fast sales qualifier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fast sales qualifier,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Multilingual brand voice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multilingual brand voice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multilingual brand voice,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https://sem.chat/templates/ai-agent-persona-guide</w:t>
      </w:r>
    </w:p>
    <w:sectPr>
      <w:pgSz w:w="12240" w:h="15840"/>
      <w:pgMar w:top="1440" w:right="1440" w:bottom="1440" w:left="1440"/>
    </w:sectPr>
  </w:body>
</w:document>
</file>