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Peak-Season Support Readiness Checklist</w:t>
      </w:r>
    </w:p>
    <w:p>
      <w:pPr>
        <w:spacing w:after="120"/>
      </w:pPr>
      <w:r>
        <w:rPr>
          <w:i/>
          <w:sz w:val="22"/>
          <w:szCs w:val="22"/>
        </w:rPr>
        <w:t xml:space="preserve">A readiness checklist for support and sales spikes.</w:t>
      </w:r>
    </w:p>
    <w:p>
      <w:pPr>
        <w:spacing w:before="220" w:after="60"/>
      </w:pPr>
      <w:r>
        <w:rPr>
          <w:b/>
          <w:sz w:val="28"/>
          <w:szCs w:val="28"/>
        </w:rPr>
        <w:t xml:space="preserve">Black Friday readiness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black friday readiness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black friday readiness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Holiday support readiness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holiday support readiness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holiday support readiness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Launch week readiness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launch week readiness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launch week readiness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Travel season readiness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travel season readiness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travel season readiness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Emergency staffing plan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emergency staffing plan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emergency staffing plan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Post-peak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post-peak review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post-peak review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https://sem.chat/templates/peak-season-readiness-checklist</w:t>
      </w:r>
    </w:p>
    <w:sectPr>
      <w:pgSz w:w="12240" w:h="15840"/>
      <w:pgMar w:top="1440" w:right="1440" w:bottom="1440" w:left="1440"/>
    </w:sectPr>
  </w:body>
</w:document>
</file>